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4303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Dear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,</w:t>
      </w:r>
    </w:p>
    <w:p w14:paraId="008B9805" w14:textId="77777777" w:rsidR="00211DDC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committed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responsibly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focusing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goal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"Sustainable World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Happy </w:t>
      </w:r>
      <w:r>
        <w:rPr>
          <w:rFonts w:eastAsia="Times New Roman" w:cstheme="minorHAnsi"/>
          <w:color w:val="000000" w:themeColor="text1"/>
          <w:lang w:eastAsia="tr-TR"/>
        </w:rPr>
        <w:t>People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."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strive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conduct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process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products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services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among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customers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alignment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goals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principles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values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contribute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positively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society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which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operate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regard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share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commitments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name "YEŞİLOVA GROUP COMPANIES POLICIES" on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websites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Yeşilova Holding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group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part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value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chain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stakeholders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Yeşilova Holding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(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production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products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services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)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ensure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compliance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policies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ethical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behavioral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rules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listed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below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practices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0653A7B3" w14:textId="77777777" w:rsidR="00211DDC" w:rsidRPr="00FF4303" w:rsidRDefault="00211DDC" w:rsidP="00211DDC">
      <w:pPr>
        <w:spacing w:before="240" w:after="0" w:line="276" w:lineRule="auto"/>
        <w:ind w:left="709" w:right="567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1.Compliance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with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Laws</w:t>
      </w:r>
      <w:proofErr w:type="spellEnd"/>
    </w:p>
    <w:p w14:paraId="52553420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color w:val="000000" w:themeColor="text1"/>
        </w:rPr>
      </w:pPr>
      <w:r w:rsidRPr="00FF4303">
        <w:rPr>
          <w:rFonts w:cstheme="minorHAnsi"/>
          <w:color w:val="000000" w:themeColor="text1"/>
        </w:rPr>
        <w:t xml:space="preserve">Suppliers </w:t>
      </w:r>
      <w:proofErr w:type="spellStart"/>
      <w:r w:rsidRPr="00FF4303">
        <w:rPr>
          <w:rFonts w:cstheme="minorHAnsi"/>
          <w:color w:val="000000" w:themeColor="text1"/>
        </w:rPr>
        <w:t>are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responsible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for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knowing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fully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complying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with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all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applicable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international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laws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other</w:t>
      </w:r>
      <w:proofErr w:type="spellEnd"/>
      <w:r w:rsidRPr="00FF4303">
        <w:rPr>
          <w:rFonts w:cstheme="minorHAnsi"/>
          <w:color w:val="000000" w:themeColor="text1"/>
        </w:rPr>
        <w:t xml:space="preserve"> legal </w:t>
      </w:r>
      <w:proofErr w:type="spellStart"/>
      <w:r w:rsidRPr="00FF4303">
        <w:rPr>
          <w:rFonts w:cstheme="minorHAnsi"/>
          <w:color w:val="000000" w:themeColor="text1"/>
        </w:rPr>
        <w:t>requirements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related</w:t>
      </w:r>
      <w:proofErr w:type="spellEnd"/>
      <w:r w:rsidRPr="00FF4303">
        <w:rPr>
          <w:rFonts w:cstheme="minorHAnsi"/>
          <w:color w:val="000000" w:themeColor="text1"/>
        </w:rPr>
        <w:t xml:space="preserve"> to </w:t>
      </w:r>
      <w:proofErr w:type="spellStart"/>
      <w:r w:rsidRPr="00FF4303">
        <w:rPr>
          <w:rFonts w:cstheme="minorHAnsi"/>
          <w:color w:val="000000" w:themeColor="text1"/>
        </w:rPr>
        <w:t>themselves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their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business</w:t>
      </w:r>
      <w:proofErr w:type="spellEnd"/>
      <w:r w:rsidRPr="00FF4303">
        <w:rPr>
          <w:rFonts w:cstheme="minorHAnsi"/>
          <w:color w:val="000000" w:themeColor="text1"/>
        </w:rPr>
        <w:t>.</w:t>
      </w:r>
    </w:p>
    <w:p w14:paraId="29BD9A82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Working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Conditions</w:t>
      </w:r>
      <w:proofErr w:type="spellEnd"/>
    </w:p>
    <w:p w14:paraId="69DD3083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color w:val="000000" w:themeColor="text1"/>
        </w:rPr>
      </w:pPr>
      <w:proofErr w:type="spellStart"/>
      <w:r w:rsidRPr="00FF4303">
        <w:rPr>
          <w:rFonts w:cstheme="minorHAnsi"/>
          <w:b/>
          <w:bCs/>
          <w:color w:val="000000" w:themeColor="text1"/>
        </w:rPr>
        <w:t>Occupational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Health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Safety:</w:t>
      </w:r>
      <w:r w:rsidRPr="00FF4303">
        <w:rPr>
          <w:rFonts w:cstheme="minorHAnsi"/>
          <w:color w:val="000000" w:themeColor="text1"/>
        </w:rPr>
        <w:t xml:space="preserve"> Suppliers </w:t>
      </w:r>
      <w:proofErr w:type="spellStart"/>
      <w:r w:rsidRPr="00FF4303">
        <w:rPr>
          <w:rFonts w:cstheme="minorHAnsi"/>
          <w:color w:val="000000" w:themeColor="text1"/>
        </w:rPr>
        <w:t>must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take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all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necessary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measures</w:t>
      </w:r>
      <w:proofErr w:type="spellEnd"/>
      <w:r w:rsidRPr="00FF4303">
        <w:rPr>
          <w:rFonts w:cstheme="minorHAnsi"/>
          <w:color w:val="000000" w:themeColor="text1"/>
        </w:rPr>
        <w:t xml:space="preserve"> in </w:t>
      </w:r>
      <w:proofErr w:type="spellStart"/>
      <w:r w:rsidRPr="00FF4303">
        <w:rPr>
          <w:rFonts w:cstheme="minorHAnsi"/>
          <w:color w:val="000000" w:themeColor="text1"/>
        </w:rPr>
        <w:t>terms</w:t>
      </w:r>
      <w:proofErr w:type="spellEnd"/>
      <w:r w:rsidRPr="00FF4303">
        <w:rPr>
          <w:rFonts w:cstheme="minorHAnsi"/>
          <w:color w:val="000000" w:themeColor="text1"/>
        </w:rPr>
        <w:t xml:space="preserve"> of </w:t>
      </w:r>
      <w:proofErr w:type="spellStart"/>
      <w:r w:rsidRPr="00FF4303">
        <w:rPr>
          <w:rFonts w:cstheme="minorHAnsi"/>
          <w:color w:val="000000" w:themeColor="text1"/>
        </w:rPr>
        <w:t>occupational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health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safety</w:t>
      </w:r>
      <w:proofErr w:type="spellEnd"/>
      <w:r w:rsidRPr="00FF4303">
        <w:rPr>
          <w:rFonts w:cstheme="minorHAnsi"/>
          <w:color w:val="000000" w:themeColor="text1"/>
        </w:rPr>
        <w:t xml:space="preserve">. They </w:t>
      </w:r>
      <w:proofErr w:type="spellStart"/>
      <w:r w:rsidRPr="00FF4303">
        <w:rPr>
          <w:rFonts w:cstheme="minorHAnsi"/>
          <w:color w:val="000000" w:themeColor="text1"/>
        </w:rPr>
        <w:t>must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provide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their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employees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with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all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necessary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training</w:t>
      </w:r>
      <w:proofErr w:type="spellEnd"/>
      <w:r w:rsidRPr="00FF4303">
        <w:rPr>
          <w:rFonts w:cstheme="minorHAnsi"/>
          <w:color w:val="000000" w:themeColor="text1"/>
        </w:rPr>
        <w:t xml:space="preserve">, </w:t>
      </w:r>
      <w:proofErr w:type="spellStart"/>
      <w:r w:rsidRPr="00FF4303">
        <w:rPr>
          <w:rFonts w:cstheme="minorHAnsi"/>
          <w:color w:val="000000" w:themeColor="text1"/>
        </w:rPr>
        <w:t>equipment</w:t>
      </w:r>
      <w:proofErr w:type="spellEnd"/>
      <w:r w:rsidRPr="00FF4303">
        <w:rPr>
          <w:rFonts w:cstheme="minorHAnsi"/>
          <w:color w:val="000000" w:themeColor="text1"/>
        </w:rPr>
        <w:t xml:space="preserve">,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resources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required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within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this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scope</w:t>
      </w:r>
      <w:proofErr w:type="spellEnd"/>
      <w:r w:rsidRPr="00FF4303">
        <w:rPr>
          <w:rFonts w:cstheme="minorHAnsi"/>
          <w:color w:val="000000" w:themeColor="text1"/>
        </w:rPr>
        <w:t xml:space="preserve">. Suppliers </w:t>
      </w:r>
      <w:proofErr w:type="spellStart"/>
      <w:r w:rsidRPr="00FF4303">
        <w:rPr>
          <w:rFonts w:cstheme="minorHAnsi"/>
          <w:color w:val="000000" w:themeColor="text1"/>
        </w:rPr>
        <w:t>must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ensure</w:t>
      </w:r>
      <w:proofErr w:type="spellEnd"/>
      <w:r w:rsidRPr="00FF4303">
        <w:rPr>
          <w:rFonts w:cstheme="minorHAnsi"/>
          <w:color w:val="000000" w:themeColor="text1"/>
        </w:rPr>
        <w:t xml:space="preserve"> the </w:t>
      </w:r>
      <w:proofErr w:type="spellStart"/>
      <w:r w:rsidRPr="00FF4303">
        <w:rPr>
          <w:rFonts w:cstheme="minorHAnsi"/>
          <w:color w:val="000000" w:themeColor="text1"/>
        </w:rPr>
        <w:t>management</w:t>
      </w:r>
      <w:proofErr w:type="spellEnd"/>
      <w:r w:rsidRPr="00FF4303">
        <w:rPr>
          <w:rFonts w:cstheme="minorHAnsi"/>
          <w:color w:val="000000" w:themeColor="text1"/>
        </w:rPr>
        <w:t xml:space="preserve"> of </w:t>
      </w:r>
      <w:proofErr w:type="spellStart"/>
      <w:r w:rsidRPr="00FF4303">
        <w:rPr>
          <w:rFonts w:cstheme="minorHAnsi"/>
          <w:color w:val="000000" w:themeColor="text1"/>
        </w:rPr>
        <w:t>health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safety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risks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provide</w:t>
      </w:r>
      <w:proofErr w:type="spellEnd"/>
      <w:r w:rsidRPr="00FF4303">
        <w:rPr>
          <w:rFonts w:cstheme="minorHAnsi"/>
          <w:color w:val="000000" w:themeColor="text1"/>
        </w:rPr>
        <w:t xml:space="preserve"> the </w:t>
      </w:r>
      <w:proofErr w:type="spellStart"/>
      <w:r w:rsidRPr="00FF4303">
        <w:rPr>
          <w:rFonts w:cstheme="minorHAnsi"/>
          <w:color w:val="000000" w:themeColor="text1"/>
        </w:rPr>
        <w:t>means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necessary</w:t>
      </w:r>
      <w:proofErr w:type="spellEnd"/>
      <w:r w:rsidRPr="00FF4303">
        <w:rPr>
          <w:rFonts w:cstheme="minorHAnsi"/>
          <w:color w:val="000000" w:themeColor="text1"/>
        </w:rPr>
        <w:t xml:space="preserve"> to </w:t>
      </w:r>
      <w:proofErr w:type="spellStart"/>
      <w:r w:rsidRPr="00FF4303">
        <w:rPr>
          <w:rFonts w:cstheme="minorHAnsi"/>
          <w:color w:val="000000" w:themeColor="text1"/>
        </w:rPr>
        <w:t>prevent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workplace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accidents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occupational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diseases</w:t>
      </w:r>
      <w:proofErr w:type="spellEnd"/>
      <w:r w:rsidRPr="00FF4303">
        <w:rPr>
          <w:rFonts w:cstheme="minorHAnsi"/>
          <w:color w:val="000000" w:themeColor="text1"/>
        </w:rPr>
        <w:t>.</w:t>
      </w:r>
    </w:p>
    <w:p w14:paraId="659AEFC6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cstheme="minorHAnsi"/>
          <w:b/>
          <w:bCs/>
          <w:color w:val="000000" w:themeColor="text1"/>
        </w:rPr>
        <w:t xml:space="preserve">Environment: 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conduct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operations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compliance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regulations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assess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impacts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decisions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measures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conservation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natural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resources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reduction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waste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reduction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carbon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footprint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pollution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control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03ED6523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cstheme="minorHAnsi"/>
          <w:b/>
          <w:bCs/>
          <w:color w:val="000000" w:themeColor="text1"/>
        </w:rPr>
        <w:t>Respect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for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Employees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treat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respect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Decisions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related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should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based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business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needs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merit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should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always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procedures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Additionally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free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from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mental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physical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sexual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other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form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harassment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disturbing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elements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454D99E6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cstheme="minorHAnsi"/>
          <w:b/>
          <w:bCs/>
          <w:color w:val="000000" w:themeColor="text1"/>
        </w:rPr>
        <w:t>Fair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Wages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Working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Hours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pay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minimum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defined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hours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operation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adhered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Overtime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pay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specified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cases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where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payment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equivalent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the normal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hourly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rate is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essential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have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one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day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off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every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seven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days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4D15F082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cstheme="minorHAnsi"/>
          <w:b/>
          <w:bCs/>
          <w:color w:val="000000" w:themeColor="text1"/>
        </w:rPr>
        <w:lastRenderedPageBreak/>
        <w:t xml:space="preserve">Right to Organize </w:t>
      </w:r>
      <w:proofErr w:type="spellStart"/>
      <w:r w:rsidRPr="00FF4303">
        <w:rPr>
          <w:rFonts w:cstheme="minorHAnsi"/>
          <w:b/>
          <w:bCs/>
          <w:color w:val="000000" w:themeColor="text1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Collective </w:t>
      </w:r>
      <w:proofErr w:type="spellStart"/>
      <w:r w:rsidRPr="00FF4303">
        <w:rPr>
          <w:rFonts w:cstheme="minorHAnsi"/>
          <w:b/>
          <w:bCs/>
          <w:color w:val="000000" w:themeColor="text1"/>
        </w:rPr>
        <w:t>Bargaining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respect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'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rights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organize, form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join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5DB890E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cstheme="minorHAnsi"/>
          <w:b/>
          <w:bCs/>
          <w:color w:val="000000" w:themeColor="text1"/>
        </w:rPr>
        <w:t xml:space="preserve">Right to </w:t>
      </w:r>
      <w:proofErr w:type="spellStart"/>
      <w:r w:rsidRPr="00FF4303">
        <w:rPr>
          <w:rFonts w:cstheme="minorHAnsi"/>
          <w:b/>
          <w:bCs/>
          <w:color w:val="000000" w:themeColor="text1"/>
        </w:rPr>
        <w:t>Personal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Data </w:t>
      </w:r>
      <w:proofErr w:type="spellStart"/>
      <w:r w:rsidRPr="00FF4303">
        <w:rPr>
          <w:rFonts w:cstheme="minorHAnsi"/>
          <w:b/>
          <w:bCs/>
          <w:color w:val="000000" w:themeColor="text1"/>
        </w:rPr>
        <w:t>Protection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'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personal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data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accordance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Personal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Data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Protection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0C9BDA6B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3. Human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Rights</w:t>
      </w:r>
      <w:proofErr w:type="spellEnd"/>
    </w:p>
    <w:p w14:paraId="5216EEF2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157144">
        <w:rPr>
          <w:rFonts w:cstheme="minorHAnsi"/>
          <w:b/>
          <w:bCs/>
          <w:color w:val="000000" w:themeColor="text1"/>
        </w:rPr>
        <w:t>Prohibition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Child </w:t>
      </w:r>
      <w:proofErr w:type="spellStart"/>
      <w:r w:rsidRPr="00157144">
        <w:rPr>
          <w:rFonts w:cstheme="minorHAnsi"/>
          <w:b/>
          <w:bCs/>
          <w:color w:val="000000" w:themeColor="text1"/>
        </w:rPr>
        <w:t>and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Young </w:t>
      </w:r>
      <w:proofErr w:type="spellStart"/>
      <w:r w:rsidRPr="00157144">
        <w:rPr>
          <w:rFonts w:cstheme="minorHAnsi"/>
          <w:b/>
          <w:bCs/>
          <w:color w:val="000000" w:themeColor="text1"/>
        </w:rPr>
        <w:t>Worker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Employment</w:t>
      </w:r>
      <w:proofErr w:type="spellEnd"/>
      <w:r w:rsidRPr="00157144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child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young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minimum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restrictions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set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regulations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International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Labour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Organization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(ILO)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standards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Additionally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accordance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relevant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regulations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regarding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No. 3308,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trainees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from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vocational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training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courses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students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protocols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made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vocational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colleges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universities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54D99CF8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157144">
        <w:rPr>
          <w:rFonts w:cstheme="minorHAnsi"/>
          <w:b/>
          <w:bCs/>
          <w:color w:val="000000" w:themeColor="text1"/>
        </w:rPr>
        <w:t>Prohibition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Discrimination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: 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cannot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discriminate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against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form (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religion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language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race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color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gender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etc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.).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tolerate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such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behaviors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among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precautions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3B67B4E1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157144">
        <w:rPr>
          <w:rFonts w:cstheme="minorHAnsi"/>
          <w:b/>
          <w:bCs/>
          <w:color w:val="000000" w:themeColor="text1"/>
        </w:rPr>
        <w:t>Prohibition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Forced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Labor</w:t>
      </w:r>
      <w:proofErr w:type="spellEnd"/>
      <w:r w:rsidRPr="00157144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engage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form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forced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compulsory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labor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decisions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based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on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principle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free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choice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1492ECF7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>4. Anti-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Bribery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Corruption</w:t>
      </w:r>
      <w:proofErr w:type="spellEnd"/>
    </w:p>
    <w:p w14:paraId="63996F4F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cannot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offer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receive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engage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bribery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corruption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precautions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combat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bribery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corruption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anti-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corruption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participate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money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laundering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activities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either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directly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indirectly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measures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regard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105010A7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Avoidance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Conflict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Interest</w:t>
      </w:r>
      <w:proofErr w:type="spellEnd"/>
    </w:p>
    <w:p w14:paraId="6A9BA02C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avoid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conflict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interest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personal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financial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benefit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activity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perceived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conflict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interest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third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parties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6F5C9917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Accuracy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Records</w:t>
      </w:r>
      <w:proofErr w:type="spellEnd"/>
    </w:p>
    <w:p w14:paraId="4E69F0C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maintain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records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related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transactions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accurately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truthfully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promptly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falsify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records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conceal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transactions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keep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records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accordance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5146F203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>7. Information Security</w:t>
      </w:r>
    </w:p>
    <w:p w14:paraId="29BF3043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confidential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information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belonging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accessible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from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Yeşilova Holding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including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secrets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technical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information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financial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data.</w:t>
      </w:r>
    </w:p>
    <w:p w14:paraId="26AB45A5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8.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Reporting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Rule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Violations</w:t>
      </w:r>
      <w:proofErr w:type="spellEnd"/>
    </w:p>
    <w:p w14:paraId="139B937A" w14:textId="77777777" w:rsidR="00211DDC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channels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other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relevant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individuals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to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report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violations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commitment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without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fear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repercussions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66873FAD" w14:textId="77777777" w:rsidR="001C0C96" w:rsidRDefault="001C0C96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</w:p>
    <w:p w14:paraId="18C40387" w14:textId="77777777" w:rsidR="001C0C96" w:rsidRPr="00FF4303" w:rsidRDefault="001C0C96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</w:p>
    <w:p w14:paraId="4949C4E2" w14:textId="4AD96007" w:rsidR="001C0C96" w:rsidRPr="00FF4303" w:rsidRDefault="00211DDC" w:rsidP="001C0C96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9.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Communication</w:t>
      </w:r>
      <w:proofErr w:type="spellEnd"/>
    </w:p>
    <w:p w14:paraId="7B5F0929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If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encounter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situation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believe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contradicts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Yeşilova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Holding's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ethical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principles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may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report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through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following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channels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07EF54AC" w14:textId="77777777" w:rsidR="00211DDC" w:rsidRDefault="00211DDC" w:rsidP="00211D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709" w:right="566"/>
        <w:jc w:val="both"/>
        <w:rPr>
          <w:rFonts w:cstheme="minorHAnsi"/>
          <w:color w:val="000000" w:themeColor="text1"/>
        </w:rPr>
      </w:pPr>
      <w:proofErr w:type="spellStart"/>
      <w:r w:rsidRPr="00157144">
        <w:rPr>
          <w:rFonts w:cstheme="minorHAnsi"/>
          <w:color w:val="000000" w:themeColor="text1"/>
        </w:rPr>
        <w:t>By</w:t>
      </w:r>
      <w:proofErr w:type="spellEnd"/>
      <w:r w:rsidRPr="00157144">
        <w:rPr>
          <w:rFonts w:cstheme="minorHAnsi"/>
          <w:color w:val="000000" w:themeColor="text1"/>
        </w:rPr>
        <w:t xml:space="preserve"> </w:t>
      </w:r>
      <w:proofErr w:type="spellStart"/>
      <w:r w:rsidRPr="00157144">
        <w:rPr>
          <w:rFonts w:cstheme="minorHAnsi"/>
          <w:color w:val="000000" w:themeColor="text1"/>
        </w:rPr>
        <w:t>email</w:t>
      </w:r>
      <w:proofErr w:type="spellEnd"/>
      <w:r w:rsidRPr="00157144">
        <w:rPr>
          <w:rFonts w:cstheme="minorHAnsi"/>
          <w:color w:val="000000" w:themeColor="text1"/>
        </w:rPr>
        <w:t>: (</w:t>
      </w:r>
      <w:hyperlink r:id="rId7" w:history="1">
        <w:r w:rsidRPr="00D76D27">
          <w:rPr>
            <w:rStyle w:val="Kpr"/>
            <w:rFonts w:cstheme="minorHAnsi"/>
          </w:rPr>
          <w:t>etikhat@yesilova.com.tr</w:t>
        </w:r>
      </w:hyperlink>
      <w:r w:rsidRPr="00157144">
        <w:rPr>
          <w:rFonts w:cstheme="minorHAnsi"/>
          <w:color w:val="000000" w:themeColor="text1"/>
        </w:rPr>
        <w:t>)</w:t>
      </w:r>
    </w:p>
    <w:p w14:paraId="038FF7D2" w14:textId="77777777" w:rsidR="00211DDC" w:rsidRPr="00157144" w:rsidRDefault="00211DDC" w:rsidP="00211DDC">
      <w:pPr>
        <w:pStyle w:val="ListeParagraf"/>
        <w:autoSpaceDE w:val="0"/>
        <w:autoSpaceDN w:val="0"/>
        <w:adjustRightInd w:val="0"/>
        <w:spacing w:before="240" w:line="276" w:lineRule="auto"/>
        <w:ind w:left="709" w:right="566"/>
        <w:jc w:val="both"/>
        <w:rPr>
          <w:rFonts w:cstheme="minorHAnsi"/>
          <w:color w:val="000000" w:themeColor="text1"/>
        </w:rPr>
      </w:pPr>
    </w:p>
    <w:p w14:paraId="4522E2A5" w14:textId="7665890B" w:rsidR="00211DDC" w:rsidRPr="00157144" w:rsidRDefault="00211DDC" w:rsidP="00211DDC">
      <w:pPr>
        <w:ind w:left="709" w:right="566"/>
        <w:jc w:val="both"/>
        <w:rPr>
          <w:rFonts w:cstheme="minorHAnsi"/>
          <w:b/>
          <w:bCs/>
          <w:color w:val="000000" w:themeColor="text1"/>
        </w:rPr>
      </w:pPr>
      <w:r w:rsidRPr="00157144">
        <w:rPr>
          <w:rFonts w:cstheme="minorHAnsi"/>
          <w:b/>
          <w:bCs/>
          <w:color w:val="000000" w:themeColor="text1"/>
        </w:rPr>
        <w:t xml:space="preserve">As a </w:t>
      </w:r>
      <w:proofErr w:type="spellStart"/>
      <w:r w:rsidRPr="00157144">
        <w:rPr>
          <w:rFonts w:cstheme="minorHAnsi"/>
          <w:b/>
          <w:bCs/>
          <w:color w:val="000000" w:themeColor="text1"/>
        </w:rPr>
        <w:t>supplier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the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company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………………………………………... </w:t>
      </w:r>
      <w:proofErr w:type="spellStart"/>
      <w:r w:rsidRPr="00157144">
        <w:rPr>
          <w:rFonts w:cstheme="minorHAnsi"/>
          <w:b/>
          <w:bCs/>
          <w:color w:val="000000" w:themeColor="text1"/>
        </w:rPr>
        <w:t>belonging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to Yeşilova Holding</w:t>
      </w:r>
      <w:r w:rsidR="001C0C96">
        <w:rPr>
          <w:rFonts w:cstheme="minorHAnsi"/>
          <w:b/>
          <w:bCs/>
          <w:color w:val="000000" w:themeColor="text1"/>
        </w:rPr>
        <w:t>/Can</w:t>
      </w:r>
      <w:r w:rsidR="00180AE9">
        <w:rPr>
          <w:rFonts w:cstheme="minorHAnsi"/>
          <w:b/>
          <w:bCs/>
          <w:color w:val="000000" w:themeColor="text1"/>
        </w:rPr>
        <w:t>ray Ulaşım</w:t>
      </w:r>
      <w:r w:rsidRPr="00157144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Pr="00157144">
        <w:rPr>
          <w:rFonts w:cstheme="minorHAnsi"/>
          <w:b/>
          <w:bCs/>
          <w:color w:val="000000" w:themeColor="text1"/>
        </w:rPr>
        <w:t>we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hereby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commit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to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comply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with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the "</w:t>
      </w:r>
      <w:proofErr w:type="spellStart"/>
      <w:r w:rsidRPr="00157144">
        <w:rPr>
          <w:rFonts w:cstheme="minorHAnsi"/>
          <w:b/>
          <w:bCs/>
          <w:color w:val="000000" w:themeColor="text1"/>
        </w:rPr>
        <w:t>Supplier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Code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Ethics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and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Conduct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, Sustainability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Commitment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" </w:t>
      </w:r>
      <w:proofErr w:type="spellStart"/>
      <w:r w:rsidRPr="00157144">
        <w:rPr>
          <w:rFonts w:cstheme="minorHAnsi"/>
          <w:b/>
          <w:bCs/>
          <w:color w:val="000000" w:themeColor="text1"/>
        </w:rPr>
        <w:t>shared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with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us </w:t>
      </w:r>
      <w:proofErr w:type="spellStart"/>
      <w:r w:rsidRPr="00157144">
        <w:rPr>
          <w:rFonts w:cstheme="minorHAnsi"/>
          <w:b/>
          <w:bCs/>
          <w:color w:val="000000" w:themeColor="text1"/>
        </w:rPr>
        <w:t>for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the </w:t>
      </w:r>
      <w:proofErr w:type="spellStart"/>
      <w:r w:rsidRPr="00157144">
        <w:rPr>
          <w:rFonts w:cstheme="minorHAnsi"/>
          <w:b/>
          <w:bCs/>
          <w:color w:val="000000" w:themeColor="text1"/>
        </w:rPr>
        <w:t>duration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our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cooperation</w:t>
      </w:r>
      <w:proofErr w:type="spellEnd"/>
      <w:r w:rsidRPr="00157144">
        <w:rPr>
          <w:rFonts w:cstheme="minorHAnsi"/>
          <w:b/>
          <w:bCs/>
          <w:color w:val="000000" w:themeColor="text1"/>
        </w:rPr>
        <w:t>.</w:t>
      </w:r>
    </w:p>
    <w:p w14:paraId="665DA5FC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Signature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Authority</w:t>
      </w:r>
      <w:proofErr w:type="spellEnd"/>
    </w:p>
    <w:p w14:paraId="31B5B0C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Name -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Surname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Stamp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Signature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224BA24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4A9D4B6B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</w:p>
    <w:p w14:paraId="6A1589DF" w14:textId="77777777" w:rsidR="008F4C02" w:rsidRPr="008F4C02" w:rsidRDefault="008F4C02" w:rsidP="008F4C02">
      <w:pPr>
        <w:ind w:left="709" w:right="566"/>
        <w:jc w:val="both"/>
        <w:rPr>
          <w:rFonts w:eastAsia="Times New Roman" w:cstheme="minorHAnsi"/>
          <w:lang w:eastAsia="tr-TR"/>
        </w:rPr>
      </w:pPr>
    </w:p>
    <w:sectPr w:rsidR="008F4C02" w:rsidRPr="008F4C02" w:rsidSect="00586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567" w:left="992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A3E0" w14:textId="77777777" w:rsidR="00EA62CF" w:rsidRDefault="00EA62CF">
      <w:pPr>
        <w:spacing w:after="0" w:line="240" w:lineRule="auto"/>
      </w:pPr>
      <w:r>
        <w:separator/>
      </w:r>
    </w:p>
  </w:endnote>
  <w:endnote w:type="continuationSeparator" w:id="0">
    <w:p w14:paraId="4E01EFCE" w14:textId="77777777" w:rsidR="00EA62CF" w:rsidRDefault="00EA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856F" w14:textId="77777777" w:rsidR="005B1486" w:rsidRDefault="005B14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56"/>
      <w:gridCol w:w="4956"/>
    </w:tblGrid>
    <w:tr w:rsidR="005E2004" w14:paraId="46FE8AC5" w14:textId="77777777" w:rsidTr="00F5669B">
      <w:tc>
        <w:tcPr>
          <w:tcW w:w="4956" w:type="dxa"/>
        </w:tcPr>
        <w:p w14:paraId="6ED40CDA" w14:textId="78ECFCB8" w:rsidR="005E2004" w:rsidRPr="001360D4" w:rsidRDefault="00FC0B44" w:rsidP="005E2004">
          <w:pPr>
            <w:pStyle w:val="AltBilgi"/>
            <w:jc w:val="center"/>
            <w:rPr>
              <w:b/>
            </w:rPr>
          </w:pPr>
          <w:r w:rsidRPr="00FC0B44">
            <w:rPr>
              <w:b/>
            </w:rPr>
            <w:t>PREPARED BY</w:t>
          </w:r>
        </w:p>
      </w:tc>
      <w:tc>
        <w:tcPr>
          <w:tcW w:w="4956" w:type="dxa"/>
        </w:tcPr>
        <w:p w14:paraId="57FE0479" w14:textId="0702BA3F" w:rsidR="005E2004" w:rsidRPr="001360D4" w:rsidRDefault="006320C8" w:rsidP="005E2004">
          <w:pPr>
            <w:pStyle w:val="AltBilgi"/>
            <w:jc w:val="center"/>
            <w:rPr>
              <w:b/>
            </w:rPr>
          </w:pPr>
          <w:r w:rsidRPr="006320C8">
            <w:rPr>
              <w:b/>
            </w:rPr>
            <w:t>APPROVED BY</w:t>
          </w:r>
        </w:p>
      </w:tc>
    </w:tr>
    <w:tr w:rsidR="005E2004" w:rsidRPr="004B0AEC" w14:paraId="09795B30" w14:textId="77777777" w:rsidTr="00F5669B">
      <w:tc>
        <w:tcPr>
          <w:tcW w:w="4956" w:type="dxa"/>
        </w:tcPr>
        <w:p w14:paraId="37870787" w14:textId="77777777" w:rsidR="006320C8" w:rsidRDefault="006320C8" w:rsidP="006320C8">
          <w:pPr>
            <w:pStyle w:val="AltBilgi"/>
            <w:jc w:val="center"/>
          </w:pPr>
          <w:r>
            <w:t>Müge Ergin</w:t>
          </w:r>
        </w:p>
        <w:p w14:paraId="645CD8AF" w14:textId="523895B1" w:rsidR="005E2004" w:rsidRPr="004B0AEC" w:rsidRDefault="006320C8" w:rsidP="006320C8">
          <w:pPr>
            <w:pStyle w:val="AltBilgi"/>
            <w:jc w:val="center"/>
          </w:pPr>
          <w:r>
            <w:t xml:space="preserve">Quality </w:t>
          </w:r>
          <w:proofErr w:type="spellStart"/>
          <w:r>
            <w:t>System</w:t>
          </w:r>
          <w:proofErr w:type="spellEnd"/>
          <w:r>
            <w:t xml:space="preserve"> </w:t>
          </w:r>
          <w:proofErr w:type="spellStart"/>
          <w:r>
            <w:t>Specialist</w:t>
          </w:r>
          <w:proofErr w:type="spellEnd"/>
        </w:p>
      </w:tc>
      <w:tc>
        <w:tcPr>
          <w:tcW w:w="4956" w:type="dxa"/>
        </w:tcPr>
        <w:p w14:paraId="0024A7E9" w14:textId="77777777" w:rsidR="006320C8" w:rsidRDefault="006320C8" w:rsidP="006320C8">
          <w:pPr>
            <w:pStyle w:val="AltBilgi"/>
            <w:jc w:val="center"/>
          </w:pPr>
          <w:r>
            <w:t>Tahsin Kip</w:t>
          </w:r>
        </w:p>
        <w:p w14:paraId="46B78515" w14:textId="194A4274" w:rsidR="005E2004" w:rsidRPr="004B0AEC" w:rsidRDefault="006320C8" w:rsidP="006320C8">
          <w:pPr>
            <w:pStyle w:val="AltBilgi"/>
            <w:jc w:val="center"/>
          </w:pPr>
          <w:proofErr w:type="spellStart"/>
          <w:r>
            <w:t>Deputy</w:t>
          </w:r>
          <w:proofErr w:type="spellEnd"/>
          <w:r>
            <w:t xml:space="preserve"> General Manager</w:t>
          </w:r>
        </w:p>
      </w:tc>
    </w:tr>
  </w:tbl>
  <w:p w14:paraId="30FEF108" w14:textId="77777777" w:rsidR="005B1486" w:rsidRDefault="005B14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4CA6" w14:textId="77777777" w:rsidR="005B1486" w:rsidRDefault="005B14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E33C" w14:textId="77777777" w:rsidR="00EA62CF" w:rsidRDefault="00EA62CF">
      <w:pPr>
        <w:spacing w:after="0" w:line="240" w:lineRule="auto"/>
      </w:pPr>
      <w:r>
        <w:separator/>
      </w:r>
    </w:p>
  </w:footnote>
  <w:footnote w:type="continuationSeparator" w:id="0">
    <w:p w14:paraId="26908257" w14:textId="77777777" w:rsidR="00EA62CF" w:rsidRDefault="00EA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8C3D" w14:textId="77777777" w:rsidR="005B1486" w:rsidRDefault="005B14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80"/>
      <w:gridCol w:w="5323"/>
      <w:gridCol w:w="1212"/>
      <w:gridCol w:w="1098"/>
    </w:tblGrid>
    <w:tr w:rsidR="007005F4" w14:paraId="0819BC76" w14:textId="77777777" w:rsidTr="007005F4">
      <w:trPr>
        <w:trHeight w:val="132"/>
      </w:trPr>
      <w:tc>
        <w:tcPr>
          <w:tcW w:w="2121" w:type="dxa"/>
          <w:vMerge w:val="restart"/>
        </w:tcPr>
        <w:p w14:paraId="5D6B870D" w14:textId="01555198" w:rsidR="00E23981" w:rsidRPr="00C45C00" w:rsidRDefault="007005F4" w:rsidP="00E2398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127E752" wp14:editId="4EAFB52D">
                <wp:simplePos x="0" y="0"/>
                <wp:positionH relativeFrom="column">
                  <wp:posOffset>635</wp:posOffset>
                </wp:positionH>
                <wp:positionV relativeFrom="paragraph">
                  <wp:posOffset>160655</wp:posOffset>
                </wp:positionV>
                <wp:extent cx="1295400" cy="530860"/>
                <wp:effectExtent l="0" t="0" r="0" b="2540"/>
                <wp:wrapThrough wrapText="bothSides">
                  <wp:wrapPolygon edited="0">
                    <wp:start x="0" y="0"/>
                    <wp:lineTo x="0" y="20928"/>
                    <wp:lineTo x="21282" y="20928"/>
                    <wp:lineTo x="21282" y="0"/>
                    <wp:lineTo x="0" y="0"/>
                  </wp:wrapPolygon>
                </wp:wrapThrough>
                <wp:docPr id="2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CBB554-D056-48EE-B403-E759CBD4646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4">
                          <a:extLst>
                            <a:ext uri="{FF2B5EF4-FFF2-40B4-BE49-F238E27FC236}">
                              <a16:creationId xmlns:a16="http://schemas.microsoft.com/office/drawing/2014/main" id="{63CBB554-D056-48EE-B403-E759CBD4646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9" w:type="dxa"/>
          <w:vMerge w:val="restart"/>
        </w:tcPr>
        <w:p w14:paraId="59B982F7" w14:textId="77777777" w:rsidR="00C45C00" w:rsidRDefault="00C45C00" w:rsidP="00E23981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16CB8206" w14:textId="47AD2D8E" w:rsidR="00E23981" w:rsidRPr="00C45C00" w:rsidRDefault="00E23981" w:rsidP="00E23981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>Supplier</w:t>
          </w:r>
          <w:proofErr w:type="spellEnd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proofErr w:type="spellStart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>Code</w:t>
          </w:r>
          <w:proofErr w:type="spellEnd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 xml:space="preserve"> of </w:t>
          </w:r>
          <w:proofErr w:type="spellStart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>Ethics</w:t>
          </w:r>
          <w:proofErr w:type="spellEnd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proofErr w:type="spellStart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>And</w:t>
          </w:r>
          <w:proofErr w:type="spellEnd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proofErr w:type="spellStart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>Conduct</w:t>
          </w:r>
          <w:proofErr w:type="spellEnd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 xml:space="preserve"> Sustainability </w:t>
          </w:r>
          <w:proofErr w:type="spellStart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>Commitment</w:t>
          </w:r>
          <w:proofErr w:type="spellEnd"/>
          <w:r w:rsidRPr="00C45C00">
            <w:rPr>
              <w:rFonts w:ascii="Arial" w:hAnsi="Arial" w:cs="Arial"/>
              <w:b/>
              <w:bCs/>
              <w:sz w:val="24"/>
              <w:szCs w:val="24"/>
            </w:rPr>
            <w:t xml:space="preserve"> Form</w:t>
          </w:r>
        </w:p>
      </w:tc>
      <w:tc>
        <w:tcPr>
          <w:tcW w:w="1213" w:type="dxa"/>
          <w:vAlign w:val="center"/>
        </w:tcPr>
        <w:p w14:paraId="236F1F4D" w14:textId="398AACA2" w:rsidR="00E23981" w:rsidRPr="006D7F5F" w:rsidRDefault="00E23981" w:rsidP="00E23981">
          <w:pPr>
            <w:pStyle w:val="stBilgi"/>
            <w:rPr>
              <w:rFonts w:ascii="Tahoma" w:hAnsi="Tahoma" w:cs="Tahoma"/>
              <w:sz w:val="16"/>
              <w:szCs w:val="16"/>
            </w:rPr>
          </w:pPr>
          <w:proofErr w:type="spellStart"/>
          <w:r w:rsidRPr="006D7F5F">
            <w:rPr>
              <w:rFonts w:ascii="Calibri" w:hAnsi="Calibri" w:cs="Calibri"/>
              <w:sz w:val="18"/>
              <w:szCs w:val="18"/>
            </w:rPr>
            <w:t>Doc.Number</w:t>
          </w:r>
          <w:proofErr w:type="spellEnd"/>
          <w:r w:rsidRPr="006D7F5F">
            <w:rPr>
              <w:rFonts w:ascii="Calibri" w:hAnsi="Calibri" w:cs="Calibri"/>
              <w:sz w:val="18"/>
              <w:szCs w:val="18"/>
            </w:rPr>
            <w:t>:</w:t>
          </w:r>
        </w:p>
      </w:tc>
      <w:tc>
        <w:tcPr>
          <w:tcW w:w="1100" w:type="dxa"/>
          <w:vAlign w:val="center"/>
        </w:tcPr>
        <w:p w14:paraId="15AF7B4B" w14:textId="21C408DD" w:rsidR="00E23981" w:rsidRPr="00E92398" w:rsidRDefault="00E23981" w:rsidP="00E23981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F.05.1</w:t>
          </w:r>
          <w:r w:rsidR="00526BED">
            <w:rPr>
              <w:rFonts w:ascii="Calibri" w:hAnsi="Calibri" w:cs="Calibri"/>
              <w:b/>
              <w:bCs/>
              <w:sz w:val="18"/>
              <w:szCs w:val="18"/>
            </w:rPr>
            <w:t>9</w:t>
          </w:r>
        </w:p>
      </w:tc>
    </w:tr>
    <w:tr w:rsidR="00E23981" w14:paraId="63731ED6" w14:textId="77777777" w:rsidTr="00575F6E">
      <w:tblPrEx>
        <w:tblCellMar>
          <w:left w:w="108" w:type="dxa"/>
          <w:right w:w="108" w:type="dxa"/>
        </w:tblCellMar>
      </w:tblPrEx>
      <w:trPr>
        <w:trHeight w:val="103"/>
      </w:trPr>
      <w:tc>
        <w:tcPr>
          <w:tcW w:w="2121" w:type="dxa"/>
          <w:vMerge/>
        </w:tcPr>
        <w:p w14:paraId="5E5FAC48" w14:textId="77777777" w:rsidR="00E23981" w:rsidRDefault="00E23981" w:rsidP="00E23981">
          <w:pPr>
            <w:pStyle w:val="stBilgi"/>
          </w:pPr>
        </w:p>
      </w:tc>
      <w:tc>
        <w:tcPr>
          <w:tcW w:w="5379" w:type="dxa"/>
          <w:vMerge/>
        </w:tcPr>
        <w:p w14:paraId="17612B33" w14:textId="77777777" w:rsidR="00E23981" w:rsidRDefault="00E23981" w:rsidP="00E23981">
          <w:pPr>
            <w:pStyle w:val="stBilgi"/>
          </w:pPr>
        </w:p>
      </w:tc>
      <w:tc>
        <w:tcPr>
          <w:tcW w:w="1213" w:type="dxa"/>
          <w:vAlign w:val="center"/>
        </w:tcPr>
        <w:p w14:paraId="34C72258" w14:textId="180DA5FC" w:rsidR="00E23981" w:rsidRPr="006D7F5F" w:rsidRDefault="00E23981" w:rsidP="00E23981">
          <w:pPr>
            <w:pStyle w:val="stBilgi"/>
            <w:rPr>
              <w:rFonts w:ascii="Tahoma" w:hAnsi="Tahoma" w:cs="Tahoma"/>
              <w:sz w:val="16"/>
              <w:szCs w:val="16"/>
            </w:rPr>
          </w:pPr>
          <w:proofErr w:type="spellStart"/>
          <w:r w:rsidRPr="006D7F5F">
            <w:rPr>
              <w:rFonts w:ascii="Calibri" w:hAnsi="Calibri" w:cs="Calibri"/>
              <w:sz w:val="18"/>
              <w:szCs w:val="18"/>
            </w:rPr>
            <w:t>Pre.Date</w:t>
          </w:r>
          <w:proofErr w:type="spellEnd"/>
          <w:r w:rsidRPr="006D7F5F">
            <w:rPr>
              <w:rFonts w:ascii="Calibri" w:hAnsi="Calibri" w:cs="Calibri"/>
              <w:sz w:val="18"/>
              <w:szCs w:val="18"/>
            </w:rPr>
            <w:t>:</w:t>
          </w:r>
        </w:p>
      </w:tc>
      <w:tc>
        <w:tcPr>
          <w:tcW w:w="1100" w:type="dxa"/>
          <w:vAlign w:val="center"/>
        </w:tcPr>
        <w:p w14:paraId="261735AE" w14:textId="58C288B1" w:rsidR="00E23981" w:rsidRPr="00E92398" w:rsidRDefault="00E23981" w:rsidP="00E23981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9.09.2025</w:t>
          </w:r>
        </w:p>
      </w:tc>
    </w:tr>
    <w:tr w:rsidR="00E23981" w14:paraId="358E1509" w14:textId="77777777" w:rsidTr="00575F6E">
      <w:tblPrEx>
        <w:tblCellMar>
          <w:left w:w="108" w:type="dxa"/>
          <w:right w:w="108" w:type="dxa"/>
        </w:tblCellMar>
      </w:tblPrEx>
      <w:trPr>
        <w:trHeight w:val="192"/>
      </w:trPr>
      <w:tc>
        <w:tcPr>
          <w:tcW w:w="2121" w:type="dxa"/>
          <w:vMerge/>
        </w:tcPr>
        <w:p w14:paraId="5272F4A6" w14:textId="77777777" w:rsidR="00E23981" w:rsidRDefault="00E23981" w:rsidP="00E23981">
          <w:pPr>
            <w:pStyle w:val="stBilgi"/>
          </w:pPr>
        </w:p>
      </w:tc>
      <w:tc>
        <w:tcPr>
          <w:tcW w:w="5379" w:type="dxa"/>
          <w:vMerge/>
        </w:tcPr>
        <w:p w14:paraId="1F205647" w14:textId="77777777" w:rsidR="00E23981" w:rsidRDefault="00E23981" w:rsidP="00E23981">
          <w:pPr>
            <w:pStyle w:val="stBilgi"/>
          </w:pPr>
        </w:p>
      </w:tc>
      <w:tc>
        <w:tcPr>
          <w:tcW w:w="1213" w:type="dxa"/>
          <w:vAlign w:val="center"/>
        </w:tcPr>
        <w:p w14:paraId="78236EC0" w14:textId="5EA573EF" w:rsidR="00E23981" w:rsidRPr="006D7F5F" w:rsidRDefault="00E23981" w:rsidP="00E23981">
          <w:pPr>
            <w:pStyle w:val="stBilgi"/>
            <w:rPr>
              <w:rFonts w:ascii="Tahoma" w:hAnsi="Tahoma" w:cs="Tahoma"/>
              <w:sz w:val="16"/>
              <w:szCs w:val="16"/>
            </w:rPr>
          </w:pPr>
          <w:proofErr w:type="spellStart"/>
          <w:r w:rsidRPr="006D7F5F">
            <w:rPr>
              <w:rFonts w:ascii="Calibri" w:hAnsi="Calibri" w:cs="Calibri"/>
              <w:sz w:val="18"/>
              <w:szCs w:val="18"/>
            </w:rPr>
            <w:t>Rev.Number</w:t>
          </w:r>
          <w:proofErr w:type="spellEnd"/>
          <w:r w:rsidRPr="006D7F5F">
            <w:rPr>
              <w:rFonts w:ascii="Calibri" w:hAnsi="Calibri" w:cs="Calibri"/>
              <w:sz w:val="18"/>
              <w:szCs w:val="18"/>
            </w:rPr>
            <w:t>:</w:t>
          </w:r>
        </w:p>
      </w:tc>
      <w:tc>
        <w:tcPr>
          <w:tcW w:w="1100" w:type="dxa"/>
          <w:vAlign w:val="center"/>
        </w:tcPr>
        <w:p w14:paraId="67795A67" w14:textId="178E4136" w:rsidR="00E23981" w:rsidRPr="00E92398" w:rsidRDefault="00E23981" w:rsidP="00E23981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0</w:t>
          </w:r>
        </w:p>
      </w:tc>
    </w:tr>
    <w:tr w:rsidR="00E23981" w14:paraId="0897F100" w14:textId="77777777" w:rsidTr="00575F6E">
      <w:tblPrEx>
        <w:tblCellMar>
          <w:left w:w="108" w:type="dxa"/>
          <w:right w:w="108" w:type="dxa"/>
        </w:tblCellMar>
      </w:tblPrEx>
      <w:trPr>
        <w:trHeight w:val="192"/>
      </w:trPr>
      <w:tc>
        <w:tcPr>
          <w:tcW w:w="2121" w:type="dxa"/>
          <w:vMerge/>
        </w:tcPr>
        <w:p w14:paraId="26C9B82A" w14:textId="77777777" w:rsidR="00E23981" w:rsidRDefault="00E23981" w:rsidP="00E23981">
          <w:pPr>
            <w:pStyle w:val="stBilgi"/>
          </w:pPr>
        </w:p>
      </w:tc>
      <w:tc>
        <w:tcPr>
          <w:tcW w:w="5379" w:type="dxa"/>
          <w:vMerge/>
        </w:tcPr>
        <w:p w14:paraId="23AAD816" w14:textId="77777777" w:rsidR="00E23981" w:rsidRDefault="00E23981" w:rsidP="00E23981">
          <w:pPr>
            <w:pStyle w:val="stBilgi"/>
          </w:pPr>
        </w:p>
      </w:tc>
      <w:tc>
        <w:tcPr>
          <w:tcW w:w="1213" w:type="dxa"/>
          <w:vAlign w:val="center"/>
        </w:tcPr>
        <w:p w14:paraId="5B3FC434" w14:textId="0C5D8B4B" w:rsidR="00E23981" w:rsidRPr="006D7F5F" w:rsidRDefault="00E23981" w:rsidP="00E23981">
          <w:pPr>
            <w:pStyle w:val="stBilgi"/>
            <w:rPr>
              <w:rFonts w:ascii="Tahoma" w:hAnsi="Tahoma" w:cs="Tahoma"/>
              <w:sz w:val="16"/>
              <w:szCs w:val="16"/>
            </w:rPr>
          </w:pPr>
          <w:proofErr w:type="spellStart"/>
          <w:r w:rsidRPr="006D7F5F">
            <w:rPr>
              <w:rFonts w:ascii="Calibri" w:hAnsi="Calibri" w:cs="Calibri"/>
              <w:sz w:val="18"/>
              <w:szCs w:val="18"/>
            </w:rPr>
            <w:t>Rev.Date</w:t>
          </w:r>
          <w:proofErr w:type="spellEnd"/>
          <w:r w:rsidRPr="006D7F5F">
            <w:rPr>
              <w:rFonts w:ascii="Calibri" w:hAnsi="Calibri" w:cs="Calibri"/>
              <w:sz w:val="18"/>
              <w:szCs w:val="18"/>
            </w:rPr>
            <w:t>:</w:t>
          </w:r>
        </w:p>
      </w:tc>
      <w:tc>
        <w:tcPr>
          <w:tcW w:w="1100" w:type="dxa"/>
          <w:vAlign w:val="center"/>
        </w:tcPr>
        <w:p w14:paraId="1AB76485" w14:textId="2ADD0596" w:rsidR="00E23981" w:rsidRPr="00E92398" w:rsidRDefault="00526BED" w:rsidP="00E23981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-</w:t>
          </w:r>
        </w:p>
      </w:tc>
    </w:tr>
    <w:tr w:rsidR="00575F6E" w14:paraId="6BF4DBED" w14:textId="77777777" w:rsidTr="00575F6E">
      <w:tblPrEx>
        <w:tblCellMar>
          <w:left w:w="108" w:type="dxa"/>
          <w:right w:w="108" w:type="dxa"/>
        </w:tblCellMar>
      </w:tblPrEx>
      <w:trPr>
        <w:trHeight w:val="192"/>
      </w:trPr>
      <w:tc>
        <w:tcPr>
          <w:tcW w:w="2121" w:type="dxa"/>
          <w:vMerge/>
        </w:tcPr>
        <w:p w14:paraId="480546B2" w14:textId="77777777" w:rsidR="00575F6E" w:rsidRDefault="00575F6E" w:rsidP="00575F6E">
          <w:pPr>
            <w:pStyle w:val="stBilgi"/>
          </w:pPr>
        </w:p>
      </w:tc>
      <w:tc>
        <w:tcPr>
          <w:tcW w:w="5379" w:type="dxa"/>
          <w:vMerge/>
        </w:tcPr>
        <w:p w14:paraId="0D75EF43" w14:textId="77777777" w:rsidR="00575F6E" w:rsidRDefault="00575F6E" w:rsidP="00575F6E">
          <w:pPr>
            <w:pStyle w:val="stBilgi"/>
          </w:pPr>
        </w:p>
      </w:tc>
      <w:tc>
        <w:tcPr>
          <w:tcW w:w="1213" w:type="dxa"/>
          <w:vAlign w:val="center"/>
        </w:tcPr>
        <w:p w14:paraId="48496878" w14:textId="7BB56C32" w:rsidR="00575F6E" w:rsidRPr="006D7F5F" w:rsidRDefault="00575F6E" w:rsidP="00575F6E">
          <w:pPr>
            <w:pStyle w:val="stBilgi"/>
            <w:rPr>
              <w:rFonts w:ascii="Tahoma" w:hAnsi="Tahoma" w:cs="Tahoma"/>
              <w:sz w:val="16"/>
              <w:szCs w:val="16"/>
            </w:rPr>
          </w:pPr>
          <w:proofErr w:type="spellStart"/>
          <w:r w:rsidRPr="006D7F5F">
            <w:rPr>
              <w:rFonts w:ascii="Tahoma" w:hAnsi="Tahoma" w:cs="Tahoma"/>
              <w:sz w:val="16"/>
              <w:szCs w:val="16"/>
            </w:rPr>
            <w:t>Pg</w:t>
          </w:r>
          <w:proofErr w:type="spellEnd"/>
          <w:r w:rsidRPr="006D7F5F">
            <w:rPr>
              <w:rFonts w:ascii="Tahoma" w:hAnsi="Tahoma" w:cs="Tahoma"/>
              <w:sz w:val="16"/>
              <w:szCs w:val="16"/>
            </w:rPr>
            <w:t xml:space="preserve">. </w:t>
          </w:r>
          <w:proofErr w:type="spellStart"/>
          <w:r w:rsidRPr="006D7F5F">
            <w:rPr>
              <w:rFonts w:ascii="Tahoma" w:hAnsi="Tahoma" w:cs="Tahoma"/>
              <w:sz w:val="16"/>
              <w:szCs w:val="16"/>
            </w:rPr>
            <w:t>Number</w:t>
          </w:r>
          <w:proofErr w:type="spellEnd"/>
          <w:r w:rsidRPr="006D7F5F">
            <w:rPr>
              <w:rFonts w:ascii="Tahoma" w:hAnsi="Tahoma" w:cs="Tahoma"/>
              <w:sz w:val="16"/>
              <w:szCs w:val="16"/>
            </w:rPr>
            <w:t>:</w:t>
          </w:r>
        </w:p>
      </w:tc>
      <w:tc>
        <w:tcPr>
          <w:tcW w:w="1100" w:type="dxa"/>
          <w:vAlign w:val="center"/>
        </w:tcPr>
        <w:p w14:paraId="46F2CED0" w14:textId="77777777" w:rsidR="00575F6E" w:rsidRPr="00E92398" w:rsidRDefault="00575F6E" w:rsidP="00575F6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92398">
            <w:rPr>
              <w:rFonts w:ascii="Tahoma" w:hAnsi="Tahoma" w:cs="Tahoma"/>
              <w:sz w:val="16"/>
              <w:szCs w:val="16"/>
            </w:rPr>
            <w:fldChar w:fldCharType="begin"/>
          </w:r>
          <w:r w:rsidRPr="00E92398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E92398">
            <w:rPr>
              <w:rFonts w:ascii="Tahoma" w:hAnsi="Tahoma" w:cs="Tahoma"/>
              <w:sz w:val="16"/>
              <w:szCs w:val="16"/>
            </w:rPr>
            <w:fldChar w:fldCharType="separate"/>
          </w:r>
          <w:r w:rsidRPr="00E92398">
            <w:rPr>
              <w:rFonts w:ascii="Tahoma" w:hAnsi="Tahoma" w:cs="Tahoma"/>
              <w:sz w:val="16"/>
              <w:szCs w:val="16"/>
            </w:rPr>
            <w:t>2</w:t>
          </w:r>
          <w:r w:rsidRPr="00E92398">
            <w:rPr>
              <w:rFonts w:ascii="Tahoma" w:hAnsi="Tahoma" w:cs="Tahoma"/>
              <w:sz w:val="16"/>
              <w:szCs w:val="16"/>
            </w:rPr>
            <w:fldChar w:fldCharType="end"/>
          </w:r>
          <w:r w:rsidRPr="00E92398">
            <w:rPr>
              <w:rFonts w:ascii="Tahoma" w:hAnsi="Tahoma" w:cs="Tahoma"/>
              <w:sz w:val="16"/>
              <w:szCs w:val="16"/>
            </w:rPr>
            <w:t xml:space="preserve"> / </w:t>
          </w:r>
          <w:r w:rsidRPr="00E92398">
            <w:rPr>
              <w:rFonts w:ascii="Tahoma" w:hAnsi="Tahoma" w:cs="Tahoma"/>
              <w:sz w:val="16"/>
              <w:szCs w:val="16"/>
            </w:rPr>
            <w:fldChar w:fldCharType="begin"/>
          </w:r>
          <w:r w:rsidRPr="00E92398">
            <w:rPr>
              <w:rFonts w:ascii="Tahoma" w:hAnsi="Tahoma" w:cs="Tahoma"/>
              <w:sz w:val="16"/>
              <w:szCs w:val="16"/>
            </w:rPr>
            <w:instrText xml:space="preserve"> NUMPAGES  </w:instrText>
          </w:r>
          <w:r w:rsidRPr="00E92398">
            <w:rPr>
              <w:rFonts w:ascii="Tahoma" w:hAnsi="Tahoma" w:cs="Tahoma"/>
              <w:sz w:val="16"/>
              <w:szCs w:val="16"/>
            </w:rPr>
            <w:fldChar w:fldCharType="separate"/>
          </w:r>
          <w:r w:rsidRPr="00E92398">
            <w:rPr>
              <w:rFonts w:ascii="Tahoma" w:hAnsi="Tahoma" w:cs="Tahoma"/>
              <w:sz w:val="16"/>
              <w:szCs w:val="16"/>
            </w:rPr>
            <w:t>2</w:t>
          </w:r>
          <w:r w:rsidRPr="00E92398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15A24B03" w14:textId="77777777" w:rsidR="008456B8" w:rsidRDefault="008456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0C3" w14:textId="77777777" w:rsidR="005B1486" w:rsidRDefault="005B14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593"/>
    <w:multiLevelType w:val="hybridMultilevel"/>
    <w:tmpl w:val="2AA6A0B8"/>
    <w:lvl w:ilvl="0" w:tplc="E93C6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CA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2F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66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EA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0E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45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6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2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0FFE"/>
    <w:multiLevelType w:val="hybridMultilevel"/>
    <w:tmpl w:val="79203826"/>
    <w:lvl w:ilvl="0" w:tplc="252EA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C9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88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2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C4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8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AA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07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A5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C12CE"/>
    <w:multiLevelType w:val="hybridMultilevel"/>
    <w:tmpl w:val="2968FF9C"/>
    <w:lvl w:ilvl="0" w:tplc="CA1ACF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01C73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76A9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7254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F8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2090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2A79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62E5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2CEF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5213200">
    <w:abstractNumId w:val="2"/>
  </w:num>
  <w:num w:numId="2" w16cid:durableId="2090957118">
    <w:abstractNumId w:val="1"/>
  </w:num>
  <w:num w:numId="3" w16cid:durableId="192691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64"/>
    <w:rsid w:val="0000080E"/>
    <w:rsid w:val="000122C0"/>
    <w:rsid w:val="000425C7"/>
    <w:rsid w:val="00042800"/>
    <w:rsid w:val="00073287"/>
    <w:rsid w:val="00073DFC"/>
    <w:rsid w:val="00077949"/>
    <w:rsid w:val="000A175F"/>
    <w:rsid w:val="000B0465"/>
    <w:rsid w:val="000D276F"/>
    <w:rsid w:val="000E016E"/>
    <w:rsid w:val="000F008B"/>
    <w:rsid w:val="000F1334"/>
    <w:rsid w:val="0010101F"/>
    <w:rsid w:val="001118F4"/>
    <w:rsid w:val="00120C9A"/>
    <w:rsid w:val="001504BF"/>
    <w:rsid w:val="001529A0"/>
    <w:rsid w:val="00157D14"/>
    <w:rsid w:val="00180AE9"/>
    <w:rsid w:val="001B654E"/>
    <w:rsid w:val="001C0C96"/>
    <w:rsid w:val="001C3BB4"/>
    <w:rsid w:val="001C6846"/>
    <w:rsid w:val="001D30BC"/>
    <w:rsid w:val="00211DDC"/>
    <w:rsid w:val="002842DF"/>
    <w:rsid w:val="002B2BE9"/>
    <w:rsid w:val="002F748B"/>
    <w:rsid w:val="00311F32"/>
    <w:rsid w:val="00320017"/>
    <w:rsid w:val="00331908"/>
    <w:rsid w:val="00331D85"/>
    <w:rsid w:val="0036652C"/>
    <w:rsid w:val="0037721E"/>
    <w:rsid w:val="00381F17"/>
    <w:rsid w:val="00382BA9"/>
    <w:rsid w:val="00383563"/>
    <w:rsid w:val="003B43A5"/>
    <w:rsid w:val="00405FAE"/>
    <w:rsid w:val="00433FDE"/>
    <w:rsid w:val="00471248"/>
    <w:rsid w:val="00471CFD"/>
    <w:rsid w:val="004725D9"/>
    <w:rsid w:val="00483ADA"/>
    <w:rsid w:val="00493714"/>
    <w:rsid w:val="00497440"/>
    <w:rsid w:val="004A558D"/>
    <w:rsid w:val="004C6F3A"/>
    <w:rsid w:val="004D2EE3"/>
    <w:rsid w:val="004D3A0A"/>
    <w:rsid w:val="004F5CCA"/>
    <w:rsid w:val="00505A1F"/>
    <w:rsid w:val="005062D7"/>
    <w:rsid w:val="00506671"/>
    <w:rsid w:val="00526BED"/>
    <w:rsid w:val="00530592"/>
    <w:rsid w:val="00572ECD"/>
    <w:rsid w:val="00575F6E"/>
    <w:rsid w:val="005860F2"/>
    <w:rsid w:val="005A6955"/>
    <w:rsid w:val="005B1486"/>
    <w:rsid w:val="005D6CD0"/>
    <w:rsid w:val="005D6EEB"/>
    <w:rsid w:val="005E0805"/>
    <w:rsid w:val="005E2004"/>
    <w:rsid w:val="00613F61"/>
    <w:rsid w:val="006320C8"/>
    <w:rsid w:val="00636BCA"/>
    <w:rsid w:val="00642F69"/>
    <w:rsid w:val="006737C9"/>
    <w:rsid w:val="00674DCB"/>
    <w:rsid w:val="006773F9"/>
    <w:rsid w:val="006815CF"/>
    <w:rsid w:val="006942F6"/>
    <w:rsid w:val="006D363C"/>
    <w:rsid w:val="006D70D3"/>
    <w:rsid w:val="006D7F5F"/>
    <w:rsid w:val="006F071D"/>
    <w:rsid w:val="007005F4"/>
    <w:rsid w:val="00731878"/>
    <w:rsid w:val="00742648"/>
    <w:rsid w:val="00795CB4"/>
    <w:rsid w:val="007A6FFE"/>
    <w:rsid w:val="007B2564"/>
    <w:rsid w:val="007D620D"/>
    <w:rsid w:val="008069FE"/>
    <w:rsid w:val="00825283"/>
    <w:rsid w:val="008275DA"/>
    <w:rsid w:val="008305EB"/>
    <w:rsid w:val="008402A1"/>
    <w:rsid w:val="008456B8"/>
    <w:rsid w:val="00853178"/>
    <w:rsid w:val="00860A5F"/>
    <w:rsid w:val="00872CB1"/>
    <w:rsid w:val="008776DB"/>
    <w:rsid w:val="008901B9"/>
    <w:rsid w:val="00897029"/>
    <w:rsid w:val="008A11C1"/>
    <w:rsid w:val="008C1136"/>
    <w:rsid w:val="008C32CB"/>
    <w:rsid w:val="008D1359"/>
    <w:rsid w:val="008E1368"/>
    <w:rsid w:val="008F4C02"/>
    <w:rsid w:val="00910141"/>
    <w:rsid w:val="00926C01"/>
    <w:rsid w:val="00934957"/>
    <w:rsid w:val="009A2871"/>
    <w:rsid w:val="009B38A5"/>
    <w:rsid w:val="009B39E2"/>
    <w:rsid w:val="009B6B2B"/>
    <w:rsid w:val="009D2317"/>
    <w:rsid w:val="009D27A3"/>
    <w:rsid w:val="009F615E"/>
    <w:rsid w:val="00AA36D6"/>
    <w:rsid w:val="00AA4670"/>
    <w:rsid w:val="00AA747D"/>
    <w:rsid w:val="00AD2AE7"/>
    <w:rsid w:val="00AE1D96"/>
    <w:rsid w:val="00B06D5B"/>
    <w:rsid w:val="00B14297"/>
    <w:rsid w:val="00B26566"/>
    <w:rsid w:val="00B42EDA"/>
    <w:rsid w:val="00B67021"/>
    <w:rsid w:val="00B80B25"/>
    <w:rsid w:val="00B93B1C"/>
    <w:rsid w:val="00BB2D85"/>
    <w:rsid w:val="00BC1192"/>
    <w:rsid w:val="00BD2413"/>
    <w:rsid w:val="00BE55AF"/>
    <w:rsid w:val="00C134D2"/>
    <w:rsid w:val="00C13BC3"/>
    <w:rsid w:val="00C33BFC"/>
    <w:rsid w:val="00C45C00"/>
    <w:rsid w:val="00C62878"/>
    <w:rsid w:val="00C75102"/>
    <w:rsid w:val="00CB6BE0"/>
    <w:rsid w:val="00CC2C9C"/>
    <w:rsid w:val="00CE4DDD"/>
    <w:rsid w:val="00CE7B8B"/>
    <w:rsid w:val="00D26C64"/>
    <w:rsid w:val="00D45F69"/>
    <w:rsid w:val="00D62330"/>
    <w:rsid w:val="00D7576C"/>
    <w:rsid w:val="00DA6D94"/>
    <w:rsid w:val="00DB18D5"/>
    <w:rsid w:val="00DB6B5E"/>
    <w:rsid w:val="00DD3684"/>
    <w:rsid w:val="00E126C3"/>
    <w:rsid w:val="00E23981"/>
    <w:rsid w:val="00E242B8"/>
    <w:rsid w:val="00E87EA1"/>
    <w:rsid w:val="00EA0289"/>
    <w:rsid w:val="00EA62CF"/>
    <w:rsid w:val="00F51ABD"/>
    <w:rsid w:val="00F53D9A"/>
    <w:rsid w:val="00F620B0"/>
    <w:rsid w:val="00F9758E"/>
    <w:rsid w:val="00FA2ED1"/>
    <w:rsid w:val="00FB031F"/>
    <w:rsid w:val="00FC0B44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98D5B"/>
  <w15:chartTrackingRefBased/>
  <w15:docId w15:val="{AEB47C2C-BAF0-47C9-AD75-2D74DA03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456B8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6233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52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558D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nhideWhenUsed/>
    <w:rsid w:val="0084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456B8"/>
  </w:style>
  <w:style w:type="paragraph" w:styleId="AltBilgi">
    <w:name w:val="footer"/>
    <w:aliases w:val="Altbilgi"/>
    <w:basedOn w:val="Normal"/>
    <w:link w:val="AltBilgiChar"/>
    <w:unhideWhenUsed/>
    <w:rsid w:val="0084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8456B8"/>
  </w:style>
  <w:style w:type="character" w:customStyle="1" w:styleId="Balk5Char">
    <w:name w:val="Başlık 5 Char"/>
    <w:basedOn w:val="VarsaylanParagrafYazTipi"/>
    <w:link w:val="Balk5"/>
    <w:uiPriority w:val="9"/>
    <w:rsid w:val="008456B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8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tikhat@yesilova.com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Çetintaş</dc:creator>
  <cp:lastModifiedBy>Müge Ergin</cp:lastModifiedBy>
  <cp:revision>29</cp:revision>
  <dcterms:created xsi:type="dcterms:W3CDTF">2024-09-11T09:23:00Z</dcterms:created>
  <dcterms:modified xsi:type="dcterms:W3CDTF">2025-10-10T06:37:00Z</dcterms:modified>
</cp:coreProperties>
</file>